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818D" w14:textId="77777777" w:rsidR="006177DF" w:rsidRDefault="008105CD" w:rsidP="008105CD">
      <w:pPr>
        <w:jc w:val="center"/>
      </w:pPr>
      <w:r>
        <w:rPr>
          <w:noProof/>
          <w:lang w:eastAsia="fr-FR"/>
        </w:rPr>
        <w:drawing>
          <wp:inline distT="0" distB="0" distL="0" distR="0" wp14:anchorId="4CCEC41D" wp14:editId="33465A76">
            <wp:extent cx="1744980" cy="891708"/>
            <wp:effectExtent l="0" t="0" r="7620" b="3810"/>
            <wp:docPr id="2" name="Image 2" descr="Identite AMF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dentite AMF v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74" cy="8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E493" w14:textId="77777777" w:rsidR="008105CD" w:rsidRDefault="008105CD" w:rsidP="008105CD">
      <w:pPr>
        <w:jc w:val="center"/>
      </w:pPr>
    </w:p>
    <w:p w14:paraId="2A51B9E3" w14:textId="77777777" w:rsidR="00457B4D" w:rsidRDefault="00457B4D"/>
    <w:p w14:paraId="1C55152E" w14:textId="77777777" w:rsidR="00863F0C" w:rsidRPr="00457B4D" w:rsidRDefault="00457B4D">
      <w:pPr>
        <w:rPr>
          <w:rFonts w:ascii="Arial" w:hAnsi="Arial" w:cs="Arial"/>
          <w:b/>
          <w:sz w:val="24"/>
          <w:szCs w:val="24"/>
        </w:rPr>
      </w:pPr>
      <w:r w:rsidRPr="00457B4D">
        <w:rPr>
          <w:rFonts w:ascii="Arial" w:hAnsi="Arial" w:cs="Arial"/>
          <w:b/>
          <w:sz w:val="24"/>
          <w:szCs w:val="24"/>
        </w:rPr>
        <w:t>Modèle de délibération relative à la désignation d’un référent déontologue pour les élus locaux</w:t>
      </w:r>
    </w:p>
    <w:p w14:paraId="071A45C7" w14:textId="77777777" w:rsidR="00863F0C" w:rsidRDefault="00863F0C"/>
    <w:p w14:paraId="15F3A263" w14:textId="77777777"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le Code Général des Collectivités Territoriales et notamment son article L. 1111-1-1, ainsi que les articles R. 1111-1- A et suivants dans leur rédaction à venir au 1er juin 2023, </w:t>
      </w:r>
    </w:p>
    <w:p w14:paraId="3EA96131" w14:textId="77777777"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la loi n° 2022-217 du 21 février 2022 relative à la différenciation, la décentralisation, la déconcentration et portant diverses mesures de simplification de l’action publique locale, </w:t>
      </w:r>
    </w:p>
    <w:p w14:paraId="03027B9B" w14:textId="77777777"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le décret n° 2022-1520 du 6 décembre 2022 relatif au référent déontologue de l’élu local et notamment son article 1er dont les dispositions entrent en vigueur le 1er juin 2023, </w:t>
      </w:r>
    </w:p>
    <w:p w14:paraId="114CA4E1" w14:textId="77777777"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VU l’arrêté du 6 décembre 2022 pris en application du décret n° 2022-1520 du 6 décembre 2022 relatif au référent déontologue de l’élu local,</w:t>
      </w:r>
    </w:p>
    <w:p w14:paraId="445E0EBA" w14:textId="77777777" w:rsidR="00863F0C" w:rsidRPr="00457B4D" w:rsidRDefault="00863F0C">
      <w:pPr>
        <w:rPr>
          <w:rFonts w:ascii="Arial" w:hAnsi="Arial" w:cs="Arial"/>
        </w:rPr>
      </w:pPr>
    </w:p>
    <w:p w14:paraId="6767CEE2" w14:textId="77777777" w:rsidR="00D0681E" w:rsidRDefault="00863F0C" w:rsidP="00457B4D">
      <w:pPr>
        <w:jc w:val="both"/>
        <w:rPr>
          <w:rFonts w:ascii="Arial" w:hAnsi="Arial" w:cs="Arial"/>
          <w:b/>
        </w:rPr>
      </w:pPr>
      <w:r w:rsidRPr="00457B4D">
        <w:rPr>
          <w:rFonts w:ascii="Arial" w:hAnsi="Arial" w:cs="Arial"/>
          <w:b/>
        </w:rPr>
        <w:t>Article 1</w:t>
      </w:r>
      <w:r w:rsidRPr="00457B4D">
        <w:rPr>
          <w:rFonts w:ascii="Arial" w:hAnsi="Arial" w:cs="Arial"/>
        </w:rPr>
        <w:t xml:space="preserve"> </w:t>
      </w:r>
      <w:r w:rsidR="00914B89" w:rsidRPr="00457B4D">
        <w:rPr>
          <w:rFonts w:ascii="Arial" w:hAnsi="Arial" w:cs="Arial"/>
          <w:b/>
        </w:rPr>
        <w:t>Désignation</w:t>
      </w:r>
      <w:r w:rsidR="008105CD">
        <w:rPr>
          <w:rFonts w:ascii="Arial" w:hAnsi="Arial" w:cs="Arial"/>
          <w:b/>
        </w:rPr>
        <w:t xml:space="preserve"> du référent déontologue (ou de la </w:t>
      </w:r>
      <w:r w:rsidR="008105CD" w:rsidRPr="00457B4D">
        <w:rPr>
          <w:rFonts w:ascii="Arial" w:hAnsi="Arial" w:cs="Arial"/>
          <w:b/>
        </w:rPr>
        <w:t>commission</w:t>
      </w:r>
      <w:r w:rsidR="008105CD">
        <w:rPr>
          <w:rFonts w:ascii="Arial" w:hAnsi="Arial" w:cs="Arial"/>
          <w:b/>
        </w:rPr>
        <w:t xml:space="preserve"> de déontologie</w:t>
      </w:r>
      <w:r w:rsidR="00914B89" w:rsidRPr="00457B4D">
        <w:rPr>
          <w:rFonts w:ascii="Arial" w:hAnsi="Arial" w:cs="Arial"/>
          <w:b/>
        </w:rPr>
        <w:t xml:space="preserve">) et </w:t>
      </w:r>
      <w:r w:rsidR="00457B4D" w:rsidRPr="00457B4D">
        <w:rPr>
          <w:rFonts w:ascii="Arial" w:hAnsi="Arial" w:cs="Arial"/>
          <w:b/>
        </w:rPr>
        <w:t xml:space="preserve">   </w:t>
      </w:r>
      <w:r w:rsidR="00914B89" w:rsidRPr="00457B4D">
        <w:rPr>
          <w:rFonts w:ascii="Arial" w:hAnsi="Arial" w:cs="Arial"/>
          <w:b/>
        </w:rPr>
        <w:t>rémunération</w:t>
      </w:r>
    </w:p>
    <w:p w14:paraId="1478A1BA" w14:textId="77777777" w:rsidR="008105CD" w:rsidRPr="008105CD" w:rsidRDefault="008105CD" w:rsidP="00457B4D">
      <w:pPr>
        <w:jc w:val="both"/>
        <w:rPr>
          <w:rFonts w:ascii="Arial" w:hAnsi="Arial" w:cs="Arial"/>
        </w:rPr>
      </w:pPr>
      <w:r w:rsidRPr="008105CD">
        <w:rPr>
          <w:rFonts w:ascii="Arial" w:hAnsi="Arial" w:cs="Arial"/>
        </w:rPr>
        <w:t>Rappel des missions du référent déontologue</w:t>
      </w:r>
      <w:r w:rsidR="00002561">
        <w:rPr>
          <w:rFonts w:ascii="Arial" w:hAnsi="Arial" w:cs="Arial"/>
        </w:rPr>
        <w:t> </w:t>
      </w:r>
      <w:r w:rsidR="00002561" w:rsidRPr="00002561">
        <w:rPr>
          <w:rFonts w:ascii="Arial" w:hAnsi="Arial" w:cs="Arial"/>
        </w:rPr>
        <w:t xml:space="preserve">: </w:t>
      </w:r>
      <w:hyperlink r:id="rId5" w:history="1">
        <w:r w:rsidR="00002561" w:rsidRPr="00002561">
          <w:rPr>
            <w:rStyle w:val="Lienhypertexte"/>
            <w:rFonts w:ascii="Arial" w:hAnsi="Arial" w:cs="Arial"/>
            <w:color w:val="auto"/>
            <w:u w:val="none"/>
          </w:rPr>
          <w:t>L’article L. 1111-1-1 du code général des collectivités territoriales</w:t>
        </w:r>
      </w:hyperlink>
      <w:r w:rsidR="00002561" w:rsidRPr="008B6F78">
        <w:rPr>
          <w:rFonts w:ascii="Arial" w:hAnsi="Arial" w:cs="Arial"/>
        </w:rPr>
        <w:t xml:space="preserve"> qui traite de </w:t>
      </w:r>
      <w:r w:rsidR="00002561">
        <w:rPr>
          <w:rFonts w:ascii="Arial" w:hAnsi="Arial" w:cs="Arial"/>
        </w:rPr>
        <w:t xml:space="preserve">la Charte de l’élu local a </w:t>
      </w:r>
      <w:r w:rsidR="00002561" w:rsidRPr="008B6F78">
        <w:rPr>
          <w:rFonts w:ascii="Arial" w:hAnsi="Arial" w:cs="Arial"/>
        </w:rPr>
        <w:t xml:space="preserve"> été complété par « </w:t>
      </w:r>
      <w:r w:rsidR="00002561" w:rsidRPr="00002561">
        <w:rPr>
          <w:rFonts w:ascii="Arial" w:hAnsi="Arial" w:cs="Arial"/>
          <w:i/>
        </w:rPr>
        <w:t>Tout élu local peut consulter un référent déontologue chargé de lui apporter tout conseil utile au respect des principes déontologiques consacrés dans la présente charte</w:t>
      </w:r>
      <w:r w:rsidR="00002561">
        <w:rPr>
          <w:rFonts w:ascii="Arial" w:hAnsi="Arial" w:cs="Arial"/>
        </w:rPr>
        <w:t> »</w:t>
      </w:r>
      <w:r w:rsidR="00002561" w:rsidRPr="008B6F78">
        <w:rPr>
          <w:rFonts w:ascii="Arial" w:hAnsi="Arial" w:cs="Arial"/>
        </w:rPr>
        <w:t>. </w:t>
      </w:r>
    </w:p>
    <w:p w14:paraId="72E10614" w14:textId="77777777" w:rsidR="008105CD" w:rsidRPr="008105CD" w:rsidRDefault="008105CD" w:rsidP="00457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 Mr ou</w:t>
      </w:r>
      <w:r w:rsidRPr="008105CD">
        <w:rPr>
          <w:rFonts w:ascii="Arial" w:hAnsi="Arial" w:cs="Arial"/>
        </w:rPr>
        <w:t xml:space="preserve"> Mme</w:t>
      </w:r>
      <w:r>
        <w:rPr>
          <w:rFonts w:ascii="Arial" w:hAnsi="Arial" w:cs="Arial"/>
        </w:rPr>
        <w:t xml:space="preserve"> XXXX (expérience professionnelle, profil etc</w:t>
      </w:r>
      <w:r w:rsidR="001B35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B31F3B" w14:textId="77777777" w:rsidR="00914B89" w:rsidRPr="00457B4D" w:rsidRDefault="00914B89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Il est proposé de désigner Mr/Mme XXXXX, pour exercer cette mission.</w:t>
      </w:r>
    </w:p>
    <w:p w14:paraId="1BC1FEEA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Il(elle) sera rémunéré par une indemnité de vacation d’un montant de 80 euros par dossier, conformément à l’arrêté du 2 décembre visé. Cette indemnité sera versée par la commune.</w:t>
      </w:r>
    </w:p>
    <w:p w14:paraId="7C5D20BC" w14:textId="77777777" w:rsidR="00272F5B" w:rsidRPr="00457B4D" w:rsidRDefault="00272F5B" w:rsidP="00457B4D">
      <w:pPr>
        <w:jc w:val="both"/>
        <w:rPr>
          <w:rFonts w:ascii="Arial" w:hAnsi="Arial" w:cs="Arial"/>
          <w:b/>
        </w:rPr>
      </w:pPr>
      <w:r w:rsidRPr="00457B4D">
        <w:rPr>
          <w:rFonts w:ascii="Arial" w:hAnsi="Arial" w:cs="Arial"/>
          <w:b/>
        </w:rPr>
        <w:t>Article 2 Modalités de saisine</w:t>
      </w:r>
      <w:r w:rsidR="008105CD">
        <w:rPr>
          <w:rFonts w:ascii="Arial" w:hAnsi="Arial" w:cs="Arial"/>
          <w:b/>
        </w:rPr>
        <w:t xml:space="preserve"> du référent (ou de la commission de déontologie)</w:t>
      </w:r>
    </w:p>
    <w:p w14:paraId="1BBDC250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déontologue</w:t>
      </w:r>
      <w:r w:rsidR="00556156">
        <w:rPr>
          <w:rFonts w:ascii="Arial" w:hAnsi="Arial" w:cs="Arial"/>
        </w:rPr>
        <w:t xml:space="preserve"> (la commission de déontologie)</w:t>
      </w:r>
      <w:r w:rsidRPr="00457B4D">
        <w:rPr>
          <w:rFonts w:ascii="Arial" w:hAnsi="Arial" w:cs="Arial"/>
        </w:rPr>
        <w:t xml:space="preserve"> peut être saisi par tout élu local</w:t>
      </w:r>
      <w:r w:rsidR="00C16F1A">
        <w:rPr>
          <w:rFonts w:ascii="Arial" w:hAnsi="Arial" w:cs="Arial"/>
        </w:rPr>
        <w:t xml:space="preserve"> (de la commune ou de l’intercommunalité)</w:t>
      </w:r>
      <w:r w:rsidRPr="00457B4D">
        <w:rPr>
          <w:rFonts w:ascii="Arial" w:hAnsi="Arial" w:cs="Arial"/>
        </w:rPr>
        <w:t>.</w:t>
      </w:r>
    </w:p>
    <w:p w14:paraId="59D42DD5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Le référent déontologue pourra être saisi par </w:t>
      </w:r>
      <w:r w:rsidR="00D1377B" w:rsidRPr="00457B4D">
        <w:rPr>
          <w:rFonts w:ascii="Arial" w:hAnsi="Arial" w:cs="Arial"/>
        </w:rPr>
        <w:t xml:space="preserve">voie écrite, par </w:t>
      </w:r>
      <w:r w:rsidRPr="00457B4D">
        <w:rPr>
          <w:rFonts w:ascii="Arial" w:hAnsi="Arial" w:cs="Arial"/>
        </w:rPr>
        <w:t xml:space="preserve">mail (dédier une adresse mail spécifique) ou par courrier à l’adresse </w:t>
      </w:r>
      <w:r w:rsidR="00457B4D" w:rsidRPr="00457B4D">
        <w:rPr>
          <w:rFonts w:ascii="Arial" w:hAnsi="Arial" w:cs="Arial"/>
        </w:rPr>
        <w:t>suivante…</w:t>
      </w:r>
      <w:r w:rsidRPr="00457B4D">
        <w:rPr>
          <w:rFonts w:ascii="Arial" w:hAnsi="Arial" w:cs="Arial"/>
        </w:rPr>
        <w:t>. (Adresse en mairie)</w:t>
      </w:r>
    </w:p>
    <w:p w14:paraId="3BEF3C1D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Les saisines du déontologue devront être cachetées et porter la mention « confidentiel ».</w:t>
      </w:r>
    </w:p>
    <w:p w14:paraId="63E2086A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Toute demande fera l’objet d’un accusé de réception par le référent déontologue qui mentionnera la date de réception et rappellera le cadre réglementaire de la réponse.</w:t>
      </w:r>
    </w:p>
    <w:p w14:paraId="7169A937" w14:textId="77777777"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Le </w:t>
      </w:r>
      <w:r w:rsidR="00D1377B" w:rsidRPr="00457B4D">
        <w:rPr>
          <w:rFonts w:ascii="Arial" w:hAnsi="Arial" w:cs="Arial"/>
        </w:rPr>
        <w:t>référent étudiera les éléments transmis par l’élu, pourra demander des informations complémentaires, recevoir l’élu afin de préparer son conseil.</w:t>
      </w:r>
    </w:p>
    <w:p w14:paraId="7D8D9398" w14:textId="3991CC82"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  <w:b/>
        </w:rPr>
        <w:lastRenderedPageBreak/>
        <w:t xml:space="preserve">Article </w:t>
      </w:r>
      <w:r w:rsidR="00D219B3">
        <w:rPr>
          <w:rFonts w:ascii="Arial" w:hAnsi="Arial" w:cs="Arial"/>
          <w:b/>
        </w:rPr>
        <w:t xml:space="preserve">3 </w:t>
      </w:r>
      <w:r w:rsidRPr="00457B4D">
        <w:rPr>
          <w:rFonts w:ascii="Arial" w:hAnsi="Arial" w:cs="Arial"/>
          <w:b/>
        </w:rPr>
        <w:t>Modalités de délivrance du conseil</w:t>
      </w:r>
    </w:p>
    <w:p w14:paraId="3B642EB9" w14:textId="77777777"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déontologue doit exercer sa mission en toute indépendance et impartialité. A cet égard, il ne peut recevoir d’injonctions extérieures.</w:t>
      </w:r>
    </w:p>
    <w:p w14:paraId="0D613678" w14:textId="77777777" w:rsidR="00457B4D" w:rsidRPr="00457B4D" w:rsidRDefault="00457B4D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communiquera l’avis à l’élu concerné dans un délai raisonnable et proportionné à la complexité de la demande.</w:t>
      </w:r>
    </w:p>
    <w:p w14:paraId="6573431A" w14:textId="4CE351F6"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  <w:b/>
        </w:rPr>
        <w:t xml:space="preserve">Article </w:t>
      </w:r>
      <w:r w:rsidR="00D219B3">
        <w:rPr>
          <w:rFonts w:ascii="Arial" w:hAnsi="Arial" w:cs="Arial"/>
          <w:b/>
        </w:rPr>
        <w:t>4</w:t>
      </w:r>
      <w:r w:rsidRPr="00457B4D">
        <w:rPr>
          <w:rFonts w:ascii="Arial" w:hAnsi="Arial" w:cs="Arial"/>
        </w:rPr>
        <w:t xml:space="preserve"> </w:t>
      </w:r>
      <w:r w:rsidRPr="00457B4D">
        <w:rPr>
          <w:rFonts w:ascii="Arial" w:hAnsi="Arial" w:cs="Arial"/>
          <w:b/>
        </w:rPr>
        <w:t>Moyens mis à disposition</w:t>
      </w:r>
      <w:r w:rsidRPr="00457B4D">
        <w:rPr>
          <w:rFonts w:ascii="Arial" w:hAnsi="Arial" w:cs="Arial"/>
        </w:rPr>
        <w:t xml:space="preserve"> </w:t>
      </w:r>
    </w:p>
    <w:p w14:paraId="11E22E6A" w14:textId="77777777" w:rsidR="00457B4D" w:rsidRPr="00457B4D" w:rsidRDefault="00457B4D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déontologue disposera d’une adresse électronique, par exemple</w:t>
      </w:r>
    </w:p>
    <w:p w14:paraId="2D1B568D" w14:textId="77777777" w:rsidR="00272F5B" w:rsidRDefault="00272F5B"/>
    <w:p w14:paraId="0CD421FD" w14:textId="77777777" w:rsidR="00914B89" w:rsidRDefault="00914B89">
      <w:r>
        <w:t xml:space="preserve"> </w:t>
      </w:r>
      <w:r w:rsidR="008105CD">
        <w:t>Fait à …..    le …….</w:t>
      </w:r>
    </w:p>
    <w:p w14:paraId="41289451" w14:textId="77777777" w:rsidR="008105CD" w:rsidRDefault="008105CD"/>
    <w:sectPr w:rsidR="0081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C"/>
    <w:rsid w:val="00002561"/>
    <w:rsid w:val="001B35E6"/>
    <w:rsid w:val="00272F5B"/>
    <w:rsid w:val="00457B4D"/>
    <w:rsid w:val="004651F7"/>
    <w:rsid w:val="00556156"/>
    <w:rsid w:val="006177DF"/>
    <w:rsid w:val="008105CD"/>
    <w:rsid w:val="00863F0C"/>
    <w:rsid w:val="00914B89"/>
    <w:rsid w:val="00C16F1A"/>
    <w:rsid w:val="00D0681E"/>
    <w:rsid w:val="00D1377B"/>
    <w:rsid w:val="00D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9A2"/>
  <w15:chartTrackingRefBased/>
  <w15:docId w15:val="{3D113A01-5BC8-47FC-B462-BBCDA8DE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5E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ex-ctp.trendmicro.com/wis/clicktime/v1/query?url=https%3a%2f%2fwww.legifrance.gouv.fr%2fcodes%2farticle%5flc%2fLEGIARTI000045214150&amp;umid=19f5ea38-c6d3-49e2-9f46-86af23e14fa2&amp;auth=acbb7ba03533ce94aefd4a8c96f43b3340ef77a5-bfabe9c3054904eaea490b884d7ac0808b76620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Association des Maires de Loir-et-Cher</cp:lastModifiedBy>
  <cp:revision>2</cp:revision>
  <cp:lastPrinted>2023-04-05T16:17:00Z</cp:lastPrinted>
  <dcterms:created xsi:type="dcterms:W3CDTF">2023-11-20T13:45:00Z</dcterms:created>
  <dcterms:modified xsi:type="dcterms:W3CDTF">2023-11-20T13:45:00Z</dcterms:modified>
</cp:coreProperties>
</file>